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Бирюков Александр Сергеевич обратился в суд с заявлением о признании недействительным договора уступки денежного требования от 08.04.2015 № 01-Б, заключенного между должником и обществом, применении последствий недействительности сделки. Определением Арбитражного суда города Москвы от 21.03.2019 в удовлетворении заявления отказано. Постановлением Девятого арбитражного апелляционного суда от 20.06.2019, оставленным без изменения постановлением Арбитражного суда Московского округа от 23.09.2019,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 руководствовался пунктом 2 статьи 181 Гражданского кодекса Российской Федерации, статьями 2, 61.2, 61.9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и исходил из ошибочности приведённых в нём выводов о пропуске конкурсным управляющим срока исковой давности для оспаривания сделки, совершённой неплатёжеспособным должником в пользу заинтересованного лица в преддверии собственного банкротства с целью причинения вреда кредиторам.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«БизнесАльтернатива»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