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общество с ограниченной ответственностью «Факторинговая компания «РОСТ» и акционерное общество «Рост Банк» обратились в суд с заявлением о признании недействительными сделками: договоров поручительства от 12.05.2015 № 78-ДП/15 и № 79-ДП/15, заключенных между должником и акционерным обществом «Глобэксбанк» (далее – общество «Глобэксбанк»); платежей должника в пользу общества с ограниченной ответственностью «Авантаж» (далее – общество «Авантаж») с назначением платежей «оплата по договору поручительства № 78-ДП/15 от 12.05.2015»; платежей общества «Авантаж» в пользу общества «Глобэксбанк» с назначением платежей «требования по аккредитиву по договору № LCI/21900-02 от 29.03.20132»; платежей должника в пользу общества с ограниченной ответственностью «Джуста» (далее – общество «Джуста») с назначением платежа «оплата по договору поручительства № 79-ДП/15 от 12.05.2015»; платежей общества «Джуста» в пользу общества «Глобэксбанк» с назначением платежей «требования по аккредитиву по договору № LCI/219080-02 от 29.03.2013». Просили применить последствия недействительности указанных сделок. Определением Арбитражного суда города Москвы от 18.12.2018, оставленным без изменения постановлением Девятого арбитражного апелляционного суда от 27.03.2018, требования удовлетворены. 2 Постановлением Арбитражного суда Московского округа от 26.07.2018 определение суда первой инстанции от 18.12.2017 и постановление апелляционного суда от 27.03.2018 отменены, обособленный спор направлен на новое рассмотрение в Арбитражный суд города Москвы. При новом рассмотрении произведена замена общества «Глобэксбанк» на его правопреемника – общество «Связь-банк», а также прекращено производство по заявлению в части требований к обществу «Джуста» в связи ликвидацией и исключением о нём сведений их Единого государственного реестра юридических лиц. Определением Арбитражного суда города Москвы от 04.03.2019, оставленным без изменения постановлениями Девятого арбитражного апелляционного суда от 02.07.2019 и Арбитражного суда Московского округа от 18.09.2019, требования удовлетворены. В кассационной жалобе, поданной в Верховный Суд Российской Федерации, заявитель просит отменить принятые на новом рассмотрении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статьями 61.1, 61.2, 129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оспариваемые сделки совершены со злоупотреблением правом и очевидной целью причинения вреда кредиторам должника, такой вред был причинён, а участники сделок знали или должны были знать о преследуемой противоправной цели.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«Межрегиональный коммерческий банк развития связи и информатики»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