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«Челябинский цинковый завод» (впоследствии преобразовано в публичное акционерное общество «Челябинский цинковый завод», бенефициар) обратилось в Арбитражный суд города Санкт-Петербурга и Ленинградской области с иском о взыскании с акционерного общества «Акционерный банк «Россия» (гаранта) 37 665 600 рублей задолженности по банковской гарантии, 715 646 рублей 40 копеек процентов за пользование чужими денежными средствами, а также процентов за пользование чужими денежными средствами, начисленных на сумму основного долга исходя из ключевой ставки Банка России начиная с 11.12.2018 до даты фактического исполнения обязательства. К участию в деле в качестве третьего лица, не заявляющего самостоятельных требований относительно предмета спора, привлечено акционерное общество «Новозыбковский машиностроительный завод» (принципал). 2 Решением Арбитражного суда города Санкт-Петербурга и Ленинградской области от 20.02.2019 в удовлетворении иска отказано. Постановлением Тринадцатого арбитражного апелляционного суда от 03.06.2019 решение суда первой инстанции оставлено без изменения. Арбитражный суд Северо-Западного округа постановлением от 26.09.2019 указанные судебные акты оставил без изменения. Публичное акционерное общество «Челябинский цинковый завод»»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368, 370, 374, 376 Гражданского кодекса Российской Федерации, суды пришли к выводу об отсутствии оснований для удовлетворения иска, поскольку требования бенефициара и приложенные документы не соответствовали условиям гарантии, а дополнительные документы, направленные бенефициаром после получения отказа банка в выплате, в нарушение условий банковской гарантии направлены по истечении срока действия гарантии. Доводы, изложенные в кассационной жалобе, выводы судов не опровергают,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фактических обстоятельств, что не входит в полномочия суда при кассационном производстве.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«Челябинский цинковый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