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24.05.2019, оставленным без изменения постановлением Седьмого арбитражного апелляционного суда от 05.08.2019, учреждение привлечено к 2 административной ответственности на основании части 1 статьи 14.47 Кодекса Российской Федерации об административных правонарушениях и ему назначено административное наказание в виде штрафа в размере 400 000 рублей. Постановлением Арбитражного суда Западно-Сибирского округа от 24.10.2019 указанные судебные акты оставлены без изменения. В жалобе учреждение просит отменить принятые по делу судебные акты, ссылаясь на допущенные, по его мнению, существенные нарушения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составления протокола и обращения административного органа в арбитражный суд с соответствующим заявлением послужил выявленный факт нарушения учреждением требований законодательства о техническом регулировании при выполнении работ по сертификации и выдаче сертификатов соответствия. Частью 1 статьи 14.47 Кодекса Российской Федерации об административных правонарушениях предусмотрена административная ответственность за нарушение правил выполнения работ по сертификации либо выдачу сертификата соответствия с нарушением требований законодательства о техническом регулировании. Оценив представленные доказательства и установив, в том числе, что материалы сертификационных дел не содержат все необходимые в соответствии с установленной процедурой подтверждения соответствия документы, которые в своей совокупности подтверждают выдачу сертификата соответствия, руководствуясь положениями Федерального закона от 27.12.2002 № 184-ФЗ «О техническом регулировании», Технического регламента Таможенного союза ТР ТС 004/2011 «О безопасности низковольтного 3 оборудования», Технического регламента Таможенного союза ТР ТС 010/2011 «О безопасности машин и оборудования», суды пришли к выводу о наличии в действиях учреждения состава административного правонарушения, ответственность за совершение которого предусмотрена частью 1 статьи 14.47 Кодекса Российской Федерации об административных правонарушениях. Процедура и срок давности привлечения к административной ответственности соблюдены, административное наказание в виде штрафа назначено в минимальном размере санкции нормы. Доказательств наличия совокупности обстоятельств, предусмотренных частью 2 статьи 3.4 и статьей 4.1.1 Кодекса Российской Федерации об административных правонарушениях, позволяющих заменить наказание в виде административного штрафа на предупреждение, в том числе в связи с отсутствием угрозы причинением вреда жизни и здоровью людей, не приведено. Иные приведенные в жалобе доводы были предметом рассмотрения судов и им дана исчерпывающая правовая оценка в оспариваемых судебных актах, не согласиться с которой оснований не имеется.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не приведено.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