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Свердловской области от 31.05.2016 должник признан несостоятельным (банкротом), в отношении её имущества введена процедура реализации, утверждён финансовый управляющий. Определением того же суда от 26.03.2019, оставленным без изменения постановлениями Семнадцатого арбитражного апелляционного суда от 14.06.2019 и Арбитражного суда Уральского округа от 16.09.2019, процедура реализации имущества должника завершена, в применении правил об освобождении от исполнения обязательств отказано. В кассационной жалобе, поданной в Верховный Суд Российской Федерации, заявитель просит отменить названные судебные акты в части неприменения правил об освобождении её от дальнейшего исполнения обязательств перед названными лицами.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применении правил об освобождении от исполнения обязательств перед кредиторами, суды, руководствуясь положениями пунктов 3 и 4 статьи 213.28 Федерального закона от 26.10.2002 № 127-ФЗ «О несостоятельности (банкротстве)», разъяснениями, приведёнными в пунктах 45 и 46 постановления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недобросовестного поведения должника, обусловленного непредставлением запрошенных судом и финансовым управляющим сведений о месте своего жительства (пребывания), составе имущества и совершённых ею сделках.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Стригановой Наталье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