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31.12.2019 с ходатайством о восстановлении срока на обжалование. Общество считает первоначальную подачу 23.12.2019 кассационной жалобы своевременной, а жалобу – неправомерно возвращенной Судом из-за отсутствия документа об уплате государственной пошлины, досланного 27.12.2019, но зарегистрированного 30.12.2019 после состоявшегося возвращения жалобы. В силу частей 1, 2 статьи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и этот может быть восстановлен при пропуске его по причинам, не зависящим от лица, обратившегося с такой жалобой. Кассационная жалоба считается поданной своевременно в случае оформления ее в соответствии с установленными требованиями в указанный двухмесячный срок. Исходя из представленных обществом документов поданная 23.12.2019 жалоба надлежащей не являлась, поскольку к ней не был приложен документ об оплате государственной пошлины. Не стала жалоба надлежащей и после досылки 27.12.2019 платежного поручения от 25.12.2019 № 61828, учитывая оформление его по истечении срока на обжалование судебных актов. Таким образом, и первоначальная, и рассматриваемая жалобы поданы с нарушением срока без обозначения причины такого нарушения, поэтому срок восстановлению не подлежит. В связи с отказом в восстановлении срока кассационную жалобу следует возвратить, однако как поданная в электронном виде она оставляется без рассмотрения по существу. Государственная пошлина за подачу жалобы настоящим определением не возвращается из-за отсутствия подлинного документа о ее уплате.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восстановлении срока подачи кассационной жалобы на постановление Девятого арбитражного апелляционного суда от 02.07.2019 и постановление Арбитражного суда Московского округа от 22.10.2019 по делу № А40-177507/2016 Арбитражного суда города Москвы. Не рассматривать по существу кассационную жалобу страхового акционерного общества «ВСК». Судья Верховного Суда Российской Федерации Н.А. Ксенофонтова Суд: Верховный Суд РФ (подробнее) Истцы: АО Страховое "ВСК" (подробнее) Ответчики: ООО "Юнион Групп"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