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117, пунктах 2, 3 статьи 291.2 Арбитражного процессуального кодекса Российской Федерации. Рассмотрев ходатайство, оценив приведенные в нем доводы, суд считает его подлежащим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«Специализированное предприятие «Практика» удовлетворить. Срок подачи кассационной жалобы на постановление Девятого арбитражного апелляционного суда от 12.12.2018 и постановление Арбитражного суда Московского округа от 30.05.2019 по делу № А40-78891/2018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