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«СтройМонтаж» (далее – ООО «СтройМонтаж») обратилось в Арбитражный суд города Москвы с иском, выделенным в отдельное производство из дела № А40-176432/2017, к обществу с ограниченной ответственностью «Водолей», обществу с ограниченной ответственностью «Олэксис» (далее – ООО «Водолей», ООО «Олэксис») о взыскании в солидарном порядке расходов на услуги нотариуса по предъявлении к протесту векселя № 0032888 в размере 60 000 рублей, а также процентов за пользование чужими денежными средствами в размере 643 407 рублей 53 копейки за период с 16.08.2017 по 07.06.2018 ( требования уточнены в порядке статьи 49 Арбитражного процессуального кодекса Российской Федерации (далее – АПК РФ)). Решением Арбитражного суда города Москвы от 15.03.2019, оставленным без изменения постановлением Девятого арбитражного апелляционного суда 2 от 13.06.2019 и постановлением Арбитражного суда Московского округа от 17.09.2019, исковые требования удовлетворены в полном объеме.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возражает относительно суммы начисленных процентов, указывая на ошибочность периодов произведенных расчетов. ООО «Водолей» также отмечает, что оплата выезда нотариуса не предусмотрена Основами законодательства Российской Федерации о нотариате.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иск заявлен в связи с ненадлежащим исполнением ответчиками обязанности по своевременной оплате простого векселя № 0032888, составленного 24.08.2015, со сроком платежа - по предъявлении, но не ранее 15.05.2017. Исследовав и оценив по правилам статьи 71 АПК РФ представленные доказательства, руководствуясь статьями 323, 395 Гражданского кодекса Российской Федерации, статьей 48 Положения о переводном и простом векселе, статьей 3 Федерального закона от 11.03.1997 № 48-ФЗ «О простом и переводном векселе», приняв во внимание установленные при рассмотрении дела № А40-176432/2017 обстоятельства, в рамках которого с ответчиков в солидарном порядке взыскана задолженность по векселю № 0032888 в размере 10 020 000 рублей, а также при рассмотрении Таганским районным судом города Москвы по гражданскому делу № 02-4604/17доказателтства, свидетельствующие о несении расходов, связанных с протестом указанного векселя, проверив представленный истцом расчет требований и признав его верным, суды удовлетворили заявленные требования.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«Водолей»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