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27.03.2019, оставленным без изменения постановлением Тринадцатого арбитражного апелляционного суда от 03.06.2019, иск удовлетворен. Арбитражный суд Северо-Западного округа постановлением от 26.09.2019 решение от 27.03.2019 и постановление Тринадцатого арбитражного апелляционного суда от 03.06.2019 оставил без изменения. В кассационной жалобе страховое общество просит об отмене судебных актов как незаконных, ссылаясь на взыскание страхового возмещения за убытки, явившиеся следствием неправомерных умышленных действий арбитражного управляющего, не попадающих под страховую защиту, совершенных до заключения договора страхования. Согласно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возникновение убытков вследствие ненадлежащего исполнения арбитражным управляющим обязанностей в период действия страхования, подтвержденных вступившим в силу решением суда, принятым в рамках дела о банкротстве (№ А59-3003/2014). Довод об отсутствии у арбитражного управляющего права на предъявление иска в свою пользу неоснователен, поскольку судами установлено, что он возместил убытки от собственных действий, ответственность за которые застраховал, и как страхователь вправе требовать компенсации понесенных расходов за счет страховой выплаты.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«Страховое общество «Помощь»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