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Вологодской области от 03.06.2019, оставленным без изменения постановлением Четырнадцатого арбитражного апелляционного суда от 15.07.2019 и постановлением Арбитражного суда Северо-Западного округа от 21.10.2019, иск удовлетворен. В кассационной жалобе ФИО1 просит о пересмотре указанных судебных актов как основанных на ненадлежащих доказательствах.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на основании статей 469 , 474 , 475 Гражданского кодекса Российской Федерации признали за истцом (покупателем) право на соразмерное уменьшение цены приобретенного у ответчика (продавца) транспортного средства в связи с установлением несоответствия его согласованным в договоре купли-продажи от 23.10.2017 характеристикам, в частности по величине пробега. Вопросы доказывания и оценки доказательств, на которых основаны доводы жалобы, не составляют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Предприниматель Копысов Александр Сергеевич (подробнее) Ответчики: Предприниматель Рыжков Михаил Павлович (подробнее) Иные лица: Кирьяк Семён Павлович (подробнее) ОСП по Тарногскому и Нюксенскому районам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