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Абрамова Галина Михайловна обратилась в суд с заявлением о включении в реестр требований кредиторов должника её требования в размере 533 003 068 рублей 76 копеек. Определением Арбитражного суда города Москвы от 04.04.2019, оставленным без изменения постановлениями Девятого арбитражного апелляционного суда от 13.06.2019 и Арбитражного суда Московского округа от 24.09.2019, требование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361, 363 Гражданского кодекса Российской Федерации, статей 19, 32, 71,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реальности передачи и расходования денежных средств сторонами заёмных отношений, хоть и являющихся заинтересованными лицами, однако раскрывших разумные экономические обоснования совершенных ими сделок, направленных на погашение реально существующих обязательств перед банком и не повлекших за собой причинения вреда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Тарабасову Дмитрию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