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28.02.2019 предприятию отказано в удовлетворении заявления. Постановлением Четырнадцатого арбитражного апелляционного суда от 06.06.2019 решение суда первой инстанции отменено, заявленное требование удовлетворено. Постановлением Арбитражного суда Северо-Западного округа от 03.10.2019 постановление суда апелляционной инстанции отменено, решение Арбитражного суда Архангельской области от 28.02.2019 оставлено в силе. 2 В кассационной жалобе, поданной в Верховный Суд Российской Федерации, предприятие просит отменить решение суда первой инстанции и постановление суда округа,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предприятия (заказчик) при проведении редукциона в электронной форме на право заключения договора на закупку медицинских изделий, выразившиеся в сокращении срока подачи заявок в нарушение Положения о закупках товаров, работ, услуг предприятия, утвержденного приказом генерального директора от 07.08.2018 № ПРК1143, а также пункта 2 части 1 статьи 3 Федерального закона от 18.07.2011 № 223-ФЗ «О закупках товаров, работ, услуг отдельными видами юридических лиц» (далее – Закон о закупках), антимонопольным органом принято оспариваемое решение. Управлением жалоба общества признана обоснованной, заказчик нарушившим пункт 2 части 1 статьи 3 Закона о закупках. Отказывая в удовлетворении заявленного требования, суд первой инстанции,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1, 2, 3 Закона о закупках, пришел к выводу о том, что ненормативный акт антимонопольного органа соответствует действующему законодательству, не нарушает права и законные интересы заявителя. При этом суд первой инстанции исходил из того, что срок для подачи заявок на участие в редукционе, определенный заказчиком, не являлся объективно достаточным для подготовки и своевременной подачи заявки потенциальными участниками редукциона и соответствующих документов в ее составе, что свидетельствует об ограничении доступа к участию в закупке всем потенциальным участникам. Кроме того, суд отметил, что оценка соблюдения срока подачи заявки должна производиться исходя из цели его установления, направленной в том числе на защиту конкуренции, и с учетом того, что данный срок является 3 гарантией участия в редукционе всех желающих, обеспечиваемой организатором торгов в качестве публичной обязанности в соответствии с законодательством. Суд кассационной инстанции поддержал данные выводы суда первой инстанции. Несогласие предприятия с выводами судов, иная оценка им фактических обстоятельств дела и иное толкование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Архангельской области «Фармация»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