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04.02.2019, оставленным без изменения постановлением Четырнадцатого арбитражного апелляционного суда от 04.06.2019 и постановлением Арбитражного суда Северо-Западного округа от 19.09.2019,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либо удовлетворить заявленное требование.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представленного обществом 21.02.2018 уточненного (корректирующего) расчета по страховым взносам за 9 месяцев 2017 года, инспекцией вынесено решение о доначислении страховых взносов в сумме 1 312 777 рублей 99 копеек, начислении соответствующих пеней и штрафа. Основанием для вынесения решения послужил вывод налогового органа о занижении обществом страховых взносов в результате неправомерного применения пониженных тарифов. Не согласившись с решением инспекции, общество обратилось в арбитражный суд. Отказывая в удовлетворении требования, судебные инстанции, оценив представленные в материалы дела доказательства, руководствуясь статьями 39, 346.15, 423, 427 Налогового кодекса Российской Федерации (далее - Налогового кодекса), пришли к выводу о том, что оспоренное решение соответствует действующему законодательству и не нарушает права и законные интересы заявителя, с чем согласился суд округа. Судебные инстанции исходили из того, что вид деятельности «техническое обслуживание и ремонт автотранспортных средств» являлся для общества основным видом деятельности, доля доходов по нему в общем объеме доходов составила 99,6 процентов и в отношении него применялась система налогообложения в виде единого налога на вмененный доход, при которой у общества отсутствовало право на применение пониженных тарифов страховых взносов. При этом в налоговой декларации по УСН за 2017 год обществом указано, что сумма дохода составляет 1 572,1 тысяч рублей, то есть 0,4 процента от общей суммы дохода общества, что свидетельствует о не 3 выполнении условий для применения пониженных тарифов, установленных подпунктом 3 пункта 2 статьи 427 Налогового кодекса.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повторяют позицию общества по спору, которая являлась предметом рассмотрения судов и получила надлежащую правовую оценку, не опровергают выводы судов, не свидетельствуют о существенном нарушении норм материального и процессуального права, повлиявшем на исход дела, направлены на переоценку фактических обстоятельств по делу, основаны на ином толковании норм материального права, что не может быть признано основанием для передачи жалобы на рассмотрение Судебной коллегии Верховного Суда Российской Федерации.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судебных актов остается без рассмотрения.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«Важная персона Авто»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