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06.03.2019, оставленным без изменения постановлением Девятнадцатого арбитражного апелляционного суда от 23.05.2019 и постановлением Арбитражного суда Центрального округа от 17.09.2019, иск удовлетворен. В кассационной жалобе общество просит об отмене указанных судебных актов как незаконных, ссылаясь на несоразмерность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«ЗемДорСтрой»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