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Орловской области от 03.04.2019, оставленным без изменения постановлением Девятнадцатого арбитражного апелляционного суда от 14.06.2019 и постановлением Арбитражного суда Центрального округа от 11.09.2019, заявление истца о взыскании судебных расходов удовлетворено. В кассационной жалобе общество «Партнер» просит об отмене судебных актов как незаконных.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Рассматривая заявление о судебных расходах, суды руководствовались постановлением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статьями 101 , 106 , 110 , 112 Арбитражного процессуального кодекса Российской Федерации, характером спора и обстоятельствами рассмотрения дела. Суды проверили соответствие заявленных судебных расходов критериям разумности и обоснованности, определенным законом и судебной практикой, и установили разумную и обоснованную сумму затрат, понесенных истцом в связи с рассмотрением дела, во взысканном размере. Доводы жалобы сводятся к иной оценке обстоятельств несения расходов, не создающей обозначенных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«Партнер»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"ЖИЛИЩНОЕ ЭКСПЛУАТАЦИОННОЕ УПРАВЛЕНИЕ №10" (подробнее) Ответчики: ООО "Партнер"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