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17.12.2018, оставленным без изменения постановлением Девятого арбитражного апелляционного суда от 06.06.2019, в удовлетворении заявленных требований отказано. 2 Постановлением Арбитражного суда Московского округа от 20.09.2019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обжалуемые судебные акты отменить, ссылаясь на допущенные, по его мнению, существенные нарушения норм материального и процессуального права. Исходя из доводов жалобы и принятых по делу судебных актов таких оснований не установлено. Как следует из судебных актов, основанием для привлечения к ответственности послужили выводы административного органа о том, что обществом на земельном участке осуществлялась деятельность, связанная с размещением салона-парикмахерской, тату-салона, арт-студии, солярия, фитнес-центра, отеля, бара, семейного спортивно-развлекательного экодрома, магазина цветов, что не соответствует установленному виду разрешенного использования данного земельного участка «для размещения производственного комплекса зданий и сооружений». Частью 1 статьи 8.8 Кодекса Российской Федерации об административных правонарушениях предусмотрена ответственность за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статьи. Оценив представленные доказательства, руководствуясь положениями Земельного кодекса Российской Федерации, суды пришли к выводу о наличии в действиях общества события правонарушения, ответственность за совершение которого предусмотрена частью 1 статьи 8.8 Кодекса Российской Федерации об административных правонарушениях. Вопреки доводам жалобы, передача в аренду части помещений на спорном участке привела к тому, что земля использовалась не в соответствии с видом разрешенного использования. 3 Выводы судов не противоречат правовой позиции, изложенной в определении Верховного Суда Российской Федерации от 21.10.2019 № 308-ЭС19-10562.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