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23.01.2019, оставленным без изменения постановлением Двадцать первого арбитражного апелляционного суда от 30.04.2019, в удовлетворении иска отказано. Постановлением Арбитражного суда Центрального округа от 06.09.2019 решение от 23.01.2019 и постановление Двадцать первого арбитражного апелляционного суда от 30.04.2019 оставлены без изменения. В кассационной жалобе общество просит о пересмотре судебных актов, ссылаясь на неосновательное непринятие судом апелляционной инстанции 2 новых доказательств и неразъяснения последствий незаявления ходатайства о проведении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Из установленных судами обстоятельств правоотношений сторон следует, что возражения предприятия были известны обществу в процессе рассмотрения дела судом первой инстанции и подлежали опровержению в этом суде (статья 65 Арбитражного процессуального кодекса Российской Федерации). Соответствие характеристик предложенного товара условиям конкурсной документации исследовано судами, и довод общества о таком соответствии отклонен по итогу исследованных в рассматриваемом деле и установленных в деле № А83-11985/2017 обстоятельств. Общество самостоятельно распоряжается процессуальными правами в том числе правом заявления ходатайства о назначении экспертизы и несет последствия своих действий и бездействия в силу части 2 статьи 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«Техпромлизинг»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