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23.04.2019, оставленным без изменения постановлением Девятого арбитражного апелляционного суда от 15.07.2019, исковые требования удовлетворены в заявленном размере. Арбитражный суд Московского округа постановлением от 07.10.2019 решение от 23.04.2019 и постановление Девятого арбитражного апелляционного суда от 15.07.2019 оставил без изменения. В кассационной жалобе общество «Максвил» просит об отмене указанных судебных актов вследствие неосновательного неуменьшения несоразмерной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ответчика об уменьшении неустойки рассмотрено судом первой инстанции в соответствии с компетенцией, статьей 333 Гражданского кодекса Российской Федерации и судебной практикой ее толкования и применения. Доводы заявителя были предметом рассмотрения апелляционного и окружного судов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«Максвил»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"ЮГРА" (подробнее) Ответчики: ООО "МАКСВИЛ"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