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28.02.2019 иск удовлетворен. Постановлением Тринадцатого арбитражного апелляционного суда от 04.06.2019 решение отменено, в иске отказано. Постановлением Арбитражного суда Северо-Западного округа от 19.09.2019 постановление апелляционного суда отменено, решение оставлено в силе. В кассационной жалобе общество «Лента» просит отменить решение и постановление окружного суда как не соответствующие условиям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431 Гражданского кодекса Российской Федерации толкование договора является компетенцией рассматривающего дело суда. Суд первой инстанции установил, что зачтенный ответчиком (покупателем) штраф предусмотрен договором поставки от 01.01.2017 № О-24631, тогда как основания для его применения не согласованы и фактически отсутствуют. Соглашение об электронном документообороте от 01.01.2017, на неисполнение которого ссылается заявитель, условия о штрафе не содержит.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Приведенные в рассматриваемой жалобе доводы опровергаются установленными обстоятельствами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