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04.03.2019, оставленным без изменения постановлением Девятнадцатого арбитражного апелляционного суда от 30.05.2019 и постановлением Арбитражного суда Центрального округа от 17.09.2019, взыскано 6 501 476 рублей 90 копеек убытков. В кассационной жалобе общество «Автотранс 57» просит об отмене указанных судебных актов как незаконных, ссылаясь на отсутствие договора перевозки и принятия в качестве его наличия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между истцом и обществом «Автотранс 57» правоотношений по договору экспедиции № 1/6 и наступление ответственности этого общества за утрату перевозимого груза суды установили на основании представленных доказательств, поэтому обязали общество возместить стоимость утраченного груза в соответствии со статьями 15, 393, 801, 803 Гражданского кодекса Российской Федерации и нормами Федерального закона от 30.06.2003 № 87-ФЗ «О транспортно-экспедиционной деятельности».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 57»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