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12.12.2018 в удовлетворении иска отказано Пятый арбитражный апелляционный суд постановлением от 17.05.2019 отменил решение от 12.12.2018 и удовлетворил иск в заявленном размере. Арбитражный суд Дальневосточного края постановлением от 10.09.2019 постановление Пятого арбитражного апелляционного суда от 17.05.2019 оставил без изменения. В кассационной жалобе поликлиника просит об отмене судебных актов апелляционного и окружного судов как незаконных, ссылаясь на отсутствие у 2 истца права требования оплаты лабораторных исследований в рамках договора с поликлиникой.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лабораторные исследования, об оплате которых заявлен иск, проведены истцом по поручению поликлиники и отказ во взыскании их стоимости противоречит статьям 779, 781 Гражданского кодекса Российской Федерации и факту оказания услуг. В такой ситуации решение суда первой инстанции отменено и иск удовлетворен правомерно.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краевому государственному бюджетному учреждению здравоохранения «Владивостокская поликлиника № 9»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