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26.02.2019, оставленным без изменения постановлением Девятого арбитражного апелляционного суда от 06.06.2019 и постановлением Арбитражного суда Московского округа от 19.09.2019, иск удовлетворен. В кассационной жалобе предприятие просит об отмене судебных актов, ссылаясь на отсутствие оценки доказательствам неоднократного изменения предмета договора и неустановления в связи с таким изменением новых сроков исполнения, требующих применения разумного срока, неправильной квалификации правоотношений как собственно поставки.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Вопреки доводам предприятия вопросы о том, является ли обязательство по поставке, срок исполнения которого определен в государственном контракте от 29.11.2016 № 1617187304362412209022241, частью опытно-конструкторских работ, о согласовании новых сроков поставки были предметом оценки судов первой и апелляционной инстанций применительно к представленным и исследованным доказательствам, доводам и возражениям сторон. Требуемая заявителем переоценка доказательств на стадии кассационного производства не составляет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«Долгопрудненское научно-производственное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