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20.06.2019, оставленным без изменения постановлением Семнадцатого арбитражного апелляционного суда от 26.09.2019, в удовлетворении заявленных требований отказано. 2 Товарищество обратилось в Верховный Суд Российской Федерации с кассационной жалобой, в которой просит указанные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товариществом установленного порядка ценообразования, поскольку при начислении платы за электроснабжение жителям дома, имеющим однотарифные счетчики, товарищество применяло тарифы, установленные для двухтарифных счетчиков. Частью 2 статьи 14.6 Кодекса Российской Федерации об административных правонарушениях установлена ответственность за занижение регулируемых государством цен (тарифов, расценок, ставок и тому подобного) на продукцию, товары либо услуги, предельных цен (тарифов, расценок, ставок и тому подобного), занижение установленных надбавок (наценок) к ценам (тарифам, расценкам, ставкам и тому подобному), нарушение установленного порядка регулирования цен (тарифов, расценок, ставок и тому подобного), а равно иное нарушение установленного порядка ценообразования. Оценив представленные доказательства, суды пришли к выводу о наличии в действиях товарищества состава правонарушения, ответственность за совершение которого предусмотрена частью 2 статьи 14.6 Кодекса Российской Федерации об административных правонарушениях. Вина товарищества в совершении правонарушения установлена. Процедура и срок давности привлечения к ответственности соблюдены. Штраф назначен ниже низшего размера санкции нормы. 3 Доводы жалобы были предметом рассмотрения судов и получили исчерпывающую оценку в обжалуемых судебных актах,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