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12.03.2019, оставленным без изменения постановлением Двенадцатого арбитражного апелляционного суда от 24.05.2019, в удовлетворении иска отказано. Арбитражный суд Поволжского округа постановлением от 08.10.2019 решение от 12.03.2019 и постановление Двенадцатого арбитражного апелляционного суда от 24.05.2019 оставил без изменения. В кассационной жалобе общество «ВСК» просит об отмене указанных судебных актов как противоречащих договору оказания охранных услуг и законным действиям страховщика.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силу статьи 965 Гражданского кодекса Российской Федерации общество «ВСК», выплатившее страховое возмещение, получило право требования убытков с организации, имевшей договор с обществом «ИТЕКО Евразия», ответственность за неисполнение которого застраховало общество «ВСК». В указанной ситуации суды правомерно отказали в иске, признав, что в обязательстве, подлежащем исполнению по правилу о суброгации, общество «ВСК» является одновременно кредитором и должником. Доводы жалобы не имеют отношения к мотивам отказа в иске и не влияют на судьбу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