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28.03.2019, оставленным без изменения постановлением Третьего арбитражного апелляционного суда от 27.06.2019, заявленные требования удовлетворены. Постановлением Арбитражного суда Восточно-Сибирского округа от 25.09.2019 указанные судебные акты оставлены без изменения. 2 В кассационной жалобе, поступившей в Верховный Суд Российской Федерации, налоговый орган просит отменить обжалуемые судебные акты, ссылаясь на допущенные, по его мнению,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 руководствуясь положениями статей 346.14, 346.15, 346.16, 430 Налогового кодекса Российской Федерации, статьи 14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суды удовлетворили заявленные требования, признав, что расчет страховых взносов в отношении полученных доходов должен осуществляться с уменьшением их на сумму расходов страхователя, находящегося на упрощенной системе налогообложения. Ссылка на недопустимость распространения правового подхода, изложенного в постановлении Конституционного Суда Российской Федерации от 30.11.2016 № 27-П, на предпринимателя, применяющего упрощенную систему налогообложения, подлежит отклонению с учетом правовых позиций, сформулированных в пункте 27 Обзора судебной практики Верховного Суда Российской Федерации № 3 (2017), утвержденного Президиумом Верховного Суда Российской Федерации 12.07.2017, определении Верховного Суда Российской Федерации от 22.11.2017 № 303-КГ17-8359. Доводы жалобы были предметом рассмотрения судов и получили исчерпывающую правовую оценку в обжалуемых судебных актах, исходя из установленных обстоятельств, не согласиться с которой оснований не имеется. 3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