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07.02.2019 исковые требования удовлетворены. Девятый арбитражный апелляционный суд постановлением от 01.07.2019 отменил решение от 07.02.2019 и удовлетворил исковые требования в части взыскания 135 725 185 рублей 41 копейки страхового возмещения, 8 779 374 рублей 32 копеек процентов за пользование чужими денежными средствами на основании статьи 395 Гражданского кодекса Российской Федерации и таких же процентов на сумму взысканного страхового возмещения за период с 12.09.2018 по дату фактической выплаты. Арбитражный суд Московского округа постановлением от 20.09.2019 постановление Девятого арбитражного апелляционного суда от 01.07.2019 оставил без изменения. 2 В кассационных жалобах стороны просят об отмене судебных актов апелляционного и окружного судов: общество «Актавис» – со ссылкой на неправомерное толкование условий страхования в пользу страховщика и частичный отказ в иске по не заявленному страховщиком в суде первой инстанции возражению, общество «АльфаСтрахование» – со ссылкой на непопадание под страхование заявленных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Судами установлены наступление страхового случая, отвечающего критериям, определенным в генеральном договоре страхования коммерческих (торговых) кредитов от 01.12.2011 № Z691J/355/00014/1, в отношении непогашенного контрагентом общества «Актавис» в период с 03.03.2016 по 28.03.2016 коммерческого кредита и размер убытков, в связи с чем удовлетворение иска в установленной сумме является правомерным. Заложенное в доводах жалоб оспаривание выводов судов, основанных на ином толковании условий страхования и иной оценке обстоятельств спора,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«Актавис» и акционерному обществу «АльфаСтрахование»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