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Московской области от 28.11.2018, оставленным без изменения постановлением Десятого арбитражного 2 апелляционного суда от 24.05.2019, в удовлетворении заявленного требования отказано. Постановлением Арбитражного суда Московского округа от 12.09.2019 указанные судебные акты оставлены без изменения. Общество обратилось в Верховный Суд Российской Федерации с кассационной жалобой, в которой просит названные судебные акты отменить, считая их принятыми с нарушением норм материального и процессуального права.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жалобы и принятых по делу судебных актов таких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таможенным органом выявлен факт несвоевременного представления обществом статистической формы учета перемещения товаров. Частью 1 статьи 19.7.13 Кодекса Российской Федерации об административных правонарушениях предусмотрена ответственность за непредставление или несвоевременное представление в таможенный орган статистической формы учета перемещения товаров либо представление статистической формы учета перемещения товаров, содержащей недостоверные сведения. 3 Оценив представленные доказательства, руководствуясь положениями Федерального закона от 27.11.2010 № 311-ФЗ «О таможенном регулировании в Российской Федерации», Правил ведения статистики взаимной торговли Российской Федерации с государствами - членами Евразийского экономического союза, утвержденных Постановлением Правительства Российской Федерации от 07.12.2015 № 1329, суды пришли к выводу о наличии в действиях общества состава административного правонарушения, ответственность за которое предусмотрена частью 1 статьи 19.7.13 Кодекса Российской Федерации об административных правонарушениях. При этом суды исходили из того, что общество, являясь участником таможенных правоотношений, обязано обеспечить неукоснительное соблюдение порядка ведения статистики взаимной торговли Российской Федерации с государствами - членами Евразийского экономического союза, но не проявило той степени заботливости и осмотрительности, которая от него требовалась в рассматриваемом случае, что повлекло за собой совершение правонарушения. Суды установили, что процедура и срок давности привлечения к административной ответственности соблюдены, административное наказание в виде штрафа назначено в минимальном размере санкции нормы. Доводы жалобы были предметом рассмотрения судов и получили исчерпывающую правовую оценку применительно к установленным обстоятельствам спора и положениям части 3 статьи 270, части 3 статьи 288 Арбитражного процессуального кодекса Российской Федерации. При этом событие правонарушения общество в жалобе не опровергает. Указанные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обжалуемого судебного акта в кассационном порядке. На основании изложенного и руководствуясь статьями 291.1, 291.6, 291.8 Арбитражного процессуального кодекса Российской Федерации, судья 4</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