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04.02.2019, оставленным без изменения постановлением Девятого арбитражного апелляционного суда от 20.05.2019, в удовлетворении иска отказано. Арбитражный суд Московского округа постановлением от 12.09.2019 решение от 04.02.2019 и постановление Девятого арбитражного апелляционного суда от 20.05.2019 оставил без изменения. В кассационной жалобе общество «Росгосстрах» просит об отмене указанных судебных актов как основанных на отсутствующих в деле доказательствах и не соответствующих судебной практике оценки критериев причиненного сделкой вреда.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Отличные от условий ранее действовавшего между сторонами договора условия оспариваемого договора не являются доказательствами наличия критериев недействительности сделки, требуемых в силу пункта 2 статьи 174 Гражданского кодекса Российской Федерации, на несоответствие которым судебных актов ссылается заявитель. Довод о заведомо невыгодном для общества «Росгосстрах» характере сделки исследован и опровергнут судами. Требуемая в жалобе переоценка обстоятельств заключения договора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