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05.03.2019, оставленным без изменения постановлением Пятнадцатого арбитражного апелляционного суда от 13.04.2019, в удовлетворении иска отказано. Арбитражный суд Северо-Кавказского округа постановлением от 18.09.2019 решение от 05.03.2019 и постановление Пятнадцатого арбитражного апелляционного суда от 13.04.2019 оставил без изменения. В кассационной жалобе компания просит об отмене судебных актов вследствие неправомерного освобождения страховщика от ответственности в полном объеме.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компании о неправомерном полном освобождении ответчика от уплаты неустойки противоречит содержанию судебных актов, из которых следует уменьшение неустойки по критерию соразмерности до уплаченной в добровольном порядке суммы, что не противоречит статье 333 Гражданского кодекса Российской Федерации, примененной по заявлению ответчика.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«Транспортная компания «Самарское»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