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08.02.2019, оставленным без изменения постановлением Тринадцатого арбитражного апелляционного суда от 13.06.2019 и постановлением Арбитражного суда Северо-Западного округа от 26.09.2019, в удовлетворении иска отказано в связи с истечением срока исковой давности, о применении которой заявил ответчик. В кассационной жалобе общество «Клевер групп» просит о пересмотре судебных актов, ссылаясь на отсутствие в деле документов, позволяющих определить начало течения срока исковой давности, и признание долга в качестве перерыва течения срока, неизвещение окружным судом о рассмотрении жалобы.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том, что срок исковой давности начал течь не ранее 01.10.2017 не опровергает выводов судов о его пропуске к моменту предъявления 24.10.2018 иска, исходя из правоотношений сторон и подлежащего применению к ним пункта 3 статьи 797 Гражданского кодекса Российской Федерации. Довод о перерыве течения срока исковой давности правомерно отклонен судами. Кассационная жалоба рассмотрена окружным судом в отсутствие сторон в соответствии с частью 3 статьи 284 Арбитражного процессуального кодекса Российской Федерации, на что имеется указание в постановлении.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«Клевер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