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15.11.2018, оставленным без изменения постановлением Девятого арбитражного апелляционного суда от 28.05.2019, в удовлетворении иска отказано. Арбитражный суд Московского округа постановлением от 11.09.2019 решение от 15.11.2018 и постановление Девятого арбитражного апелляционного суда от 28.05.2019 оставил без изменения. В кассационной жалобе организация просит о пересмотре судебных актов как незаконных вследствие игнорирования допущенных ответчиками нарушений, составляющих условия для взыскания убытков.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в силу статей 15, 393, 1069 Гражданского кодекса Российской Федерации условия для взыскания убытков вследствие ненадлежащего исполнения договора и неправомерных действий, устанавливаются компетентными судами нижестоящих инстанций и не подлежат пересмотру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«Ассоциация специалистов по Дианетике и Саентологии»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