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07.06.2019 производство по делу прекращено в связи с отсутствием основания для рассмотрения его этим арбитражным судом. Девятый арбитражный апелляционный суд постановлением от 05.09.2019 отменил определение от 07.06.2019 и направил дело на рассмотрение в Арбитражный суд города Москвы Арбитражный суд Московского округа постановлением от 30.10.2019 постановление Девятого арбитражного апелляционного суда от 05.09.2019 оставил без изменения. В кассационной жалобе иностранная компания просит об отмене судебных актов апелляционного и окружного судов как незаконных вследствие формального применения правила утраты права на возражение.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иностранной компании об отсутствии юрисдикции российского суда был предметом рассмотрения и отклонен на основании пункта 18 постановления Пленума Верховного Суда Российской Федерации от 27.06.2017 № 23 «О рассмотрении арбитражными судами дел по экономическим спорам, возникающим из отношений, осложненных иностранным элементом». Судами установлено, что представители иностранной компании участвовали в шести судебных заседаниях, прошедших до того, в котором было заявлено об отсутствии компетенции избранного истцом суда. При таком процессуальном поведении в суде первой инстанции основание для прекращения производства по делу отсутствует.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Monsoon Accessorize Limited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