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07.03.2019, оставленным без изменения постановлением от 06.06.2019, иск удовлетворен. Арбитражный суд Московского округа постановлением от 30.09.2019 отменил решение от 07.03.2019 и постановление Девятого арбитражного апелляционного суда от 06.06.2019 и направил дело на новое рассмотрение в Арбитражный суд города Москвы для установления входящих в предмет доказывания обстоятельств. В кассационной жалобе организация просит об отмене постановления суда округа, ссылаясь на отсутствие оснований для отмены им судебных актов нижестоящих инстанций.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Отмена судебных актов нижестоящих инстанций в связи с неустановлением обстоятельств, необходимых для разрешения дела, находится в пределах полномочий, предоставленных суду округа статьями 286, 287 Арбитражного процессуального кодекса.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некоммерческой корпоративной организации «Потребительское общество взаимного страхования гражданской ответственности застройщиков»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