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13 января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города Москвы от 09.07.2019, принятым в порядке упрощенного производства и оставленным без изменения постановлением Девятого арбитражного апелляционного суда от 30.09.2019, иск удовлетворен. В кассационной жалобе общество просит о пересмотре указанных судебных актов как незаконных вследствие неосновательного рассмотрения дела в упрощенном порядке, лишившего его возможности дополнительного обоснования возражений против иска.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2 Таких оснований в связи с доводами жалобы не усматривается. Судом первой инстанции рассмотрены возражения общества в отношении упрощенного порядка рассмотрения дела и заявление об уменьшении неустойки. Принятие дела к рассмотрению в упрощенном порядке не мешало обществу одновременно с заявленными возражениями заявить о встречном иске и обосновать в необходимом обществу пределе заявление об уменьшении неустойки. Таким образом, избранный судом в соответствии с критерием, установленным в пункте 1 части 2 статьи 227 Арбитражного процессуального кодекса Российской Федерации, порядок рассмотрения дела не повлиял на результат его рассмотрения и не воспрепятствовал обществу в осуществлении процессуальных прав.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публичному акционерному обществу «Мотовилихинские заводы»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