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21.12.2018 иск удовлетворен частично. Постановлением Тринадцатого арбитражного апелляционного суда от 08.04.2019, оставленным без изменения постановлением Арбитражного суда Северо-Западного округа от 12.09.2019, решение отменено, в удовлетворении иска отказано. В кассационной жалобе общество «Транспортные технологии» просит отменить судебные акты как незаконные вследствие отсутствия надлежащего удостоверения факта непредставления транспортного средства под погрузку и неправильной квалификации удержания в качестве зачета.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отсутствии акта о непредставлении транспортного средства под погрузку, предусмотренного Уставом автомобильного и городского наземного электрического транспорта и Правилами перевозок грузов автомобильным транспортом, неоснователен, поскольку суды установили, что документ, удостоверяющий нарушение перевозчика (истца), согласован в договоре от 30.09.2016 № 12/2016-707, составлен с участием представителя перевозчика (водителя) и направлен ему заказчиком (ответчиком). Неустойка и право на её удержание также являются договорными условиями, примененными судами.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