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15.04.2019, оставленным без изменения постановлением Девятого арбитражного апелляционного суда от 02.08.2019, взыскано 2 382 361 рубль 57 копеек задолженности и 37 361 рубль 39 копеек процентов за пользование чужими денежными средствами. Арбитражный суд Московского округа постановлением от 10.10.2019 решение от 15.04.2019 и постановление Девятого арбитражного апелляционного суда от 02.08.2019 оставил без изменения. В кассационной жалобе общество «Блестящая линия» просит об отмене судебных актов, ссылаясь на игнорирование судами установленной законом солидарной обязанности истца по уплате таможенных платежей.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законную обязанность по уплате таможне недостающей суммы таможенных платежей истец исполнил. Между тем ответчик обязан возместить понесенные на уплату таможенных платежей расходы в силу договора от 12.05.2015 № 17/15-М и суды правомерно обязали его к исполнению этой обязанности, что не противоречит и диспозитивным правилам статьи 325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«Блестящая линия»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