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15.03.2019, оставленным без изменения постановлением Пятого арбитражного апелляционного суда от 30.04.2019, иск удовлетворен. Арбитражный суд Дальневосточного округа постановлением от 10.09.2019 решение от 15.03.2019 и постановление Пятого арбитражного апелляционного суда от 30.04.2019 оставил без изменения. В кассационной жалобе акционерное общество «АльфаСтрахование» просит об отмене указанных судебных актов как незаконных вследствие неприменения срока исковой давности и несоответствия выводов судов фактическим обстоятельствам.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заявителя о том, что срок исковой давности подлежит исчислению с даты приемки объекта, о которой компания как заказчик строительства была осведомлена, опровергается установленными судами отказом общества «АльфаСтрахование» в выплате страхового возмещения в связи с ненаступлением периода гарантийного обслуживания объекта вследствие неввода его в эксплуатацию и отказом компании от договора в условиях несдачи объекта в эксплуатацию. Срок исковой давности, предусмотренный для реализации права из договора страхования имущества статьей 966 Гражданского кодекса Российской Федерации, судами обоснованно признан не пропущенным.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