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28.01.2019, оставленным без изменения постановлением Одиннадцатого арбитражного апелляционного суда от 13.06.2019, заявленные требования удовлетворены частично, признаны незаконными и отменены постановления управления от 09.01.2018 № А05-1229/2018 в части назначения наказания в размере штрафа, 2 превышающего 3 944 520 рублей, № А05-1226/2018 в части назначения наказания в размере штрафа, превышающего 21 184 160 рублей, № А05-1228/2018 в части назначения наказания в размере штрафа, превышающего 2 151 120 рублей, № А05-1230/2018 в части назначения наказания в размере штрафа, превышающего 4 564 960 рублей, № А05-1231/2018 в части назначения наказания в размере штрафа, превышающего 2 065 920 рублей. В удовлетворении остальной части требований отказано. Постановлением Арбитражного суда Поволжского округа от 11.10.2019 решение суда первой инстанции и постановление суда апелляционной инстанции отменены, дело направлено на новое рассмотрение в суд первой инстанции. В кассационной жалобе, поданной в Верховный Суд Российской Федерации, управление просит отменить постановление суда округа, ссылаясь на существенное нарушение норм права, оставить в силе решение суда первой инстанции и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19.12.2017 был издан приказ № 01/593-к о возбуждении дела и создании комиссии по рассмотрению дела о нарушении антимонопольного законодательства в отношении обществ «ИВЦ «Анатомика», «ГИРЯ 14», «Ортопрайм», «Ортопрайм СНГ», «Диапомпа» и «Диомид». По результатам рассмотрения дела управлением вынесено решение, которым заявители признаны нарушившими требования пункта 2 части 1 статьи 11 Закона о защите конкуренции, что выразилось в достижении устного картельного соглашения, реализация которого привела к поддержанию цен на аукционах в электронных торгах. Кроме того, установленный факт нарушения антимонопольного законодательства явился основанием для вынесения постановлений о наложении штрафов. Не согласившись с решением и постановлениями антимонопольного органа, заявители обратились в арбитражный суд. 3 Исследовав и оценив представленные в материалы дела доказательства, суды первой и апелляционной инстанций исходили из доказанности антимонопольным органом обстоятельств нарушения пункта 2 части 1 статьи 11 Закона о защите конкуренции. При этом как указали судебные инстанции, при привлечении к административной ответственности за злоупотребление доминирующим положением на товарном рынке штраф исчисляется, исходя из выручки правонарушителя за год, предшествующий году издания антимонопольным органом приказа о возбуждения дела по признакам нарушения антимонопольного законодательства, в связи с чем размер штрафа рассчитан судами исходя из выручки заявителей за 2016 год. Отменяя судебные акты первой и апелляционной инстанций, суд округа, руководствуясь положениями Закона о контрактной системе, Федерального закона от 08.02.1998 № 14-ФЗ «Об обществах с ограниченной ответственностью», исходил из того, что выводы судов не соответствуют фактическим обстоятельствам дела и имеющимся в деле доказательствам, сделаны при неправильном применении норм права. Как указал суд округа, судами не дана надлежащая правовая оценка установленным в процессе производства по делу обстоятельствам с учетом правовой природы договора доверительного управления имуществом. Доводы управления, изложенные в кассационной жалобе, не подтверждают нарушения судом округа норм права при вынесении обжалуемого постановления.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