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26.02.2019, оставленным без изменения постановлением Семнадцатого арбитражного апелляционного суда от 03.06.2019 и постановлением Арбитражного суда Уральского округа от 26.09.2019, первоначальный иск удовлетворен, в удовлетворении встречного иска отказано. В кассационной жалобе общество «СТП Экспертиза» просит об отмене судебных актов как незаконных вследствие предоставления исполнения до прекращения действия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 исполнения сторонами договора на оказание услуг от 29.12.2017 № 261э-17 исследованы судами и не подлежат переоценке на стадии кассационного производства. Суды установили предоставление исполнения с просрочкой и в ситуации утраты его потребительской ценности для акционерного общества, поэтому удовлетворили первоначальный иск в соответствии со статьями 779, 1102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«СТП Экспертиза»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