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17.05.2019, оставленным без изменения постановлением Четвертого арбитражного апелляционного суда от 12.07.2019 и постановлением Арбитражного суда Восточно-Сибирского округа от 11.09.2019, производство по делу в части взыскания основного долга по договору оказания услуг от 26.07.2016 № 731/Т в размере 645 898 рублей 96 копеек прекращено на основании пункта 2 части 1 статьи 150 Арбитражного процессуального кодекса Российской Федерации. В кассационной жалобе общество «СпецСтройКонтракт» просит об отмене судебных актов, указывая на право самостоятельного определения размера заявленных требований, отличного от заявлявшегося в деле № А19-336/2017 Арбитражного суда Иркутской области.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Правомочие на изменение размера требования истец имеет в пределах рассматриваемого иска (статья 49 Арбитражного процессуального кодекса Российской Федерации). Предъявление нескольких исков об одном и том же предмете ограничивается пунктом 2 части 1 статьи 150 Арбитражного процессуального кодекса Российской Федерации, правильно примененным в настоящем деле.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«СпецСтройКонтракт»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