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05.04.2019, оставленным без изменения постановлением Девятого арбитражного апелляционного суда от 28.06.2019 и постановлением Арбитражного суда Московского округа от 17.10.2019, заявление общества о взыскании 302 176 рублей 06 копеек судебных расходов удовлетворено на сумму в 100 000 рублей. В кассационной жалобе ФТС России просит о пересмотре судебных актов в отношении судебных расходов как незаконных вследствие взыскания расходов в неразумном и неоправданном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нормами статей 101, 106, 110 Арбитражного процессуального кодекса Российской Федерации, характером спора и обстоятельствами его рассмотрения.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 общества на ведение дела во взысканном размере. Иная оценка обоснованности расходов, изложенная в рассматриваемой жалобе, не создает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