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20.02.2019, оставленным без изменения постановлением Девятого арбитражного апелляционного суда от 13.06.2019 и постановлением Арбитражного суда Московского округа от 16.09.2019, в удовлетворении иска отказано. В кассационной жалобе общество «ОРМОС-Полимер» просит об отмене судебных актов как противоречащих договору, неправильно истолкованному судом.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Толкование договора в силу статьи 431 Гражданского кодекса Российской Федерации относится к компетенции суда, рассматривающего дело по первой инстанции. Суды установили, что требуемая истцом корректировка задолженности в силу договора от 22.03.2013 № 14/2013 применяется по факту осуществления ответчиком платежей, а не по факту отгрузки товара как заявлена в иске. Судебные акты соответствуют договору, установленным обстоятельствам его исполнения и статьям 506, 516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«ОРМОС-Полимер»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