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08.04.2019, оставленным без изменения постановлением Девятого арбитражного апелляционного суда от 23.07.2019 первоначальный иск удовлетворен, в удовлетворении встречного иска отказано. Арбитражный суд Московского округа постановлением от 10.10.2019 решение от 08.04.2019 и постановление Девятого арбитражного апелляционного суда от 23.07.2019 оставил без изменения. В кассационной жалобе компания просит об отмене судебных актов вследствие несоответствия представленным доказательствам.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«Арсенал»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