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12.02.2019 в удовлетворении иска отказано. Шестнадцатый арбитражный апелляционный суд постановлением от 11.06.2019 отменил решение от 12.02.2019 и удовлетворил иск в заявленном размере. Арбитражный суд Северо-Кавказского округа постановлением от 02.10.2019 постановление Шестнадцатого арбитражного апелляционного суда от 11.06.2019 оставил без изменения. В кассационной жалобе банк просит о пересмотре судебных актов апелляционной и окружного судов как незаконных, ссылаясь на отсутствие вины в причинении убытков.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и оценив представленные доказательства, установили, что при очевидном сомнительном характере расчетной операции банк не идентифицировал плательщика, указанного в оформленном от имени предпринимателя платежном поручении, чем ненадлежащее исполнил обязательства из договора банковского счета и способствовал выбытию из владения спорной суммы. Вина в предпринимательских отношениях не является основанием ответственности (пункт 3 статьи 401 Гражданского кодекса Российской Федерации).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