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05.07.2019, принятым в порядке упрощенного производства и оставленным без изменения постановлением Девятого арбитражного апелляционного суда от 02.10.2019, в удовлетворении иска отказано. В кассационной жалобе учреждение просит об отмене указанных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Согласно статьям 845, 854, 858 Гражданского кодекса Российской Федерации распоряжение денежными средствами осуществляется клиентом или уполномоченными им лицами и может быть ограничено только в случаях, предусмотренных законом. После смерти гражданина права и обязанности в отношении принадлежащего ему банковского счета и находящихся на нем денежных средств переходят к правопреемникам в порядке наследования. Зачисленная на банковский счет гражданина после смерти спорная сумма независимо от основания ее приобретения включается в состав наследственной массы и не может быть истребована ни в качестве неосновательного обогащения банка, ни на основании договора о взаимодействии его с учреждением.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«Отделению Пенсионного фонда Российской Федерации по Кировской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