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05.03.2019, оставленным без изменения постановлением Девятнадцатого арбитражного апелляционного суда от 30.05.2019, иск удовлетворен. Арбитражный суд Центрального округа постановлением от 12.09.2019 решение от 05.03.2019 и постановление Девятнадцатого арбитражного апелляционного суда от 30.05.2019 оставил без изменения. В кассационной жалобе администрация просит об отмене судебных актов как незаконных вследствие отсутствия у прокурора самостоятельного материально-правового интереса в рамках рассматриваемого дела, неправомерной оценки условий закупки.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 прокурора на иск определяется функцией надзора за соблюдением законодательства о закупках и расходованием отпускаемых на них средств бюджетов. Суды, исследовав обстоятельства дела, установили, что излишняя неосновательная конкретизация администрацией характеристик объекта закупки, противоречит требованиям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так как ограничивает количество потенциальных участников закупки и исключает конкуренцию между ними.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Сампурского района Тамбовской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