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07.03.2019, оставленным без изменения постановлением Пятнадцатого арбитражного апелляционного суда от 24.05.2019 и постановлением Арбитражного суда Северо-Кавказского округа от 17.09.2019, в иске отказано. В кассационной жалобе общество «Шоколенд» просит о пересмотре указанных судебных актов как основанных на недопустимом заключении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«Шоколенд»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