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19.04.2019, оставленным без изменения постановлением Девятого арбитражного апелляционного суда от 24.07.2019 и постановлением Арбитражного суда Московского округа от 07.10.2019, исковые требования удовлетворены частично. В кассационной жалобе общество «Олимп-Трейд» просит об отмене судебных актов как незаконных вследствие игнорирования судами договорных обстоятельств, освобождающих от ответственности.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установил, что в заявленных требованиях учтена корректировка сведений о простое в связи с указанием ответчиком причин, охватываемая согласованным сторонами основанием ответственности за вину. Ответчик самостоятельно избрал основание для уменьшении неустойки, сделав заявление о применении статьи 333 Гражданского кодекса Российской Федерации, удовлетворенное судом, поэтому его довод о неприменении для этой цели статьи 404 Кодекса неоснователен.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«Олимп-Трейд»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