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Краснодарского края от 27.02.2019, оставленным без изменения постановлением Пятнадцатого арбитражного апелляционного суда от 28.05.2019 и постановлением Арбитражного суда Северо-Кавказского округа от 18.09.2019, в удовлетворении заявления отказано. 2 В кассационной жалобе, поданной в Верховный Суд Российской Федерации, ассоциация, ссылаясь на существенное нарушение норм права, просит отменить судебные акты и удовлетворить требование.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установлено судами, администрацией на сайте ЗАО «Сбербанк-АСТ» размещено извещение № 0118300013618000020 о проведении аукциона на право заключения контракта на выполнение работ по отлову безнадзорных животных на территории Новомихайловского городского поселения. Ассоциация обратилась в управление с жалобой на нарушение администрацией положений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- Закон о контрактной системе). Решением управления жалоба ассоциации признана необоснованной, приостановление определения поставщика (подрядчика, исполнителя) в части подписания контракта отменено. Не согласившись с решением управления, общество обратилось в арбитражный суд. Отказывая в удовлетворении требования, суды трех инстанций, руководствуясь положениями Закона о контрактной системе, Порядком регулирования численности безнадзорных животных, утвержденным постановлением главы администрации (губернатора) Краснодарского края от 07.04.2014 № 300 (далее - Порядок), пришли к выводу о том, что оспоренное решение соответствует законодательству и не нарушает прав и законных интересов заявителя. Судебные инстанции исходили из того, что проект муниципального контракта соответствует положениям Закона о контрактной системе, содержит обязательные условия о порядке и сроках осуществления заказчиком приемки выполненных работ. При этом суды отметили, что аукционной документацией определены исключительно работы по отлову безнадзорных животных с подозрением на 3 бешенство, проявляющих признаки агрессивности, представляющих угрозу жизни и здоровью человека методом полной иммобилизации безнадзорных животных, в том числе кремации безнадзорных животных, подбора павших животных в соответствии с требованиями Порядка. Доводы, приведенные в кассационной жалобе, в том числе о необходимости обязательного включения в проект контракта условий о предоставлении исполнителем документов, подтверждающих качество услуг, условий о проведении экспертизы, наличии полномочий у органов местного самоуправления по заключению контракта, являлись предметом рассмотрения судов и получили надлежащую правовую оценку. По существу доводы жалобы не свидетельствуют о существенном нарушении норм материального и норм процессуального права, повлиявших на исход дела, выражают несогласие с выводами судов по фактическим обстоятельствам спора и основаны на ином толковании применительно к ним положений законодательства, что не может служить основанием для передачи жалобы на рассмотрение в судебном заседании Судебной коллегии Верховного Суда Российской Федерации. Учитывая изложенное,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Ассоциации юристов и специалистов по правам и защите животных «Зооправо»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