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18.12.2018 взыскано 1 828 850 рублей 10 копеек страхового возмещения и 53 988 рублей 66 копеек процентов за пользование чужими денежными средствами. Пятнадцатый арбитражный апелляционный суд постановлением от 15.04.2019 отменил решение от 18.12.2018 и отказал в удовлетворении иска, сославшись на непопадание заявленного события под договорное понятие страхового случая. Арбитражный суд Северо-Кавказского округа постановлением от 09.07.2019 постановление Пятнадцатого арбитражного апелляционного суда от 15.04.2019 оставил без изменения. В кассационной жалобе предприниматель просит об отмене судебных актов апелляционного и окружного судов как незаконных, ссылаясь на неверное толкование этими судами договора страхования и неосновательное определение повреждения застрахованного транспортного средства при его разгрузке.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исследованных и установленных судами обстоятельств следует, что полис от 22.12.2017 № SYS131479350 подтверждает факт заключения договора страхования на основании Правил страхования средств автотранспорта от 30.05.2016, в полном объеме составляющих условия страхования находящегося в лизинге у предпринимателя грузового автомобиля. Событие, произошедшее при загрузке или разгрузке застрахованного автомобиля, не отнесено Правилами к застрахованным рискам. В силу статьи 929 Гражданского кодекса Российской Федерации при страховании производится возмещение убытков в застрахованном имуществе, имеющих причинно-следственную связь с определенным договором страхования событием. Повреждение застрахованного автомобиля посредством падения сцепленного с ним полуприцепа во время разгрузки является установленным судами обстоятельством. Ситуация, при которой автомобиль, являясь приспособлением (тягачом) для приведения в движение емкости для груза (полуприцепа), мог самостоятельно использоваться как для загрузки, так и для разгрузки чего-либо правомерно оценена судом апелляционной инстанции как невозможная применительно к эксплуатационным характеристикам автомобиля. Таким образом, установив причинно-следственную связь факта разгрузки с заявленными убытками и исключение сторонами таковых из застрахованных рисков, апелляционный суд отказал во взыскании страхового возмещения в соответствии с условиями страхования и в отсутствие неправильного их толкования. Довод предпринимателя о возникновении убытков вследствие падения или попадания на застрахованное транспортное средство инородных предметов, относящихся к застрахованным рискам, также мотивированно отклонен ссылкой на условиям страхования.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ПАО Страховое "Ресо-Гарантия" (подробнее) СПАО "РЕСО-Гарантия"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